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b/>
          <w:color w:val="10B981"/>
          <w:sz w:val="48"/>
        </w:rPr>
        <w:t>Business Requirements Document</w:t>
      </w:r>
    </w:p>
    <w:p>
      <w:pPr>
        <w:jc w:val="center"/>
      </w:pPr>
      <w:r>
        <w:rPr>
          <w:b/>
        </w:rPr>
        <w:t>Customer Portal for Regional Insurance Company</w:t>
        <w:br/>
      </w:r>
      <w:r>
        <w:rPr>
          <w:i/>
        </w:rPr>
        <w:t>Policy Renewals and Claims Management</w:t>
        <w:br/>
      </w:r>
      <w:r>
        <w:t>Version 1.0 | June 2026</w:t>
      </w:r>
    </w:p>
    <w:p>
      <w:r>
        <w:br w:type="page"/>
      </w:r>
    </w:p>
    <w:p>
      <w:pPr>
        <w:pStyle w:val="Heading1"/>
      </w:pPr>
      <w:r>
        <w:t>1. Executive Summary</w:t>
      </w:r>
    </w:p>
    <w:p>
      <w:pPr>
        <w:pStyle w:val="ListBullet"/>
      </w:pPr>
      <w:r>
        <w:t>This document defines the business requirements for a customer-facing web portal that enables policyholders of a regional insurance company to manage policy renewals and submit claims online. The portal aims to reduce call centre volume, improve customer satisfaction, and ensure compliance with industry data protection standards.</w:t>
      </w:r>
    </w:p>
    <w:p>
      <w:pPr>
        <w:pStyle w:val="ListBullet"/>
      </w:pPr>
      <w:r>
        <w:t>The solution will integrate with existing policy administration and claims systems while providing a secure, accessible, and intuitive user experience.</w:t>
      </w:r>
    </w:p>
    <w:p>
      <w:pPr>
        <w:pStyle w:val="Heading1"/>
      </w:pPr>
      <w:r>
        <w:t>2. Business Objective</w:t>
      </w:r>
    </w:p>
    <w:p>
      <w:pPr>
        <w:pStyle w:val="ListBullet"/>
      </w:pPr>
      <w:r>
        <w:t>Enable self-service policy renewal and claims submission for registered policyholders.</w:t>
      </w:r>
    </w:p>
    <w:p>
      <w:pPr>
        <w:pStyle w:val="ListBullet"/>
      </w:pPr>
      <w:r>
        <w:t>Reduce call centre contact rate by 25% within 12 months of launch.</w:t>
      </w:r>
    </w:p>
    <w:p>
      <w:pPr>
        <w:pStyle w:val="ListBullet"/>
      </w:pPr>
      <w:r>
        <w:t>Improve customer satisfaction scores (CSAT) for routine transactions by 15%.</w:t>
      </w:r>
    </w:p>
    <w:p>
      <w:pPr>
        <w:pStyle w:val="ListBullet"/>
      </w:pPr>
      <w:r>
        <w:t>Ensure all customer interactions meet regulatory audit and data retention requirements.</w:t>
      </w:r>
    </w:p>
    <w:p>
      <w:pPr>
        <w:pStyle w:val="Heading1"/>
      </w:pPr>
      <w:r>
        <w:t>3. Scope</w:t>
      </w:r>
    </w:p>
    <w:p>
      <w:r>
        <w:rPr>
          <w:b/>
        </w:rPr>
        <w:t>In Scope:</w:t>
      </w:r>
    </w:p>
    <w:p>
      <w:pPr>
        <w:pStyle w:val="ListBullet"/>
      </w:pPr>
      <w:r>
        <w:t>- User registration and authentication for policyholders</w:t>
      </w:r>
    </w:p>
    <w:p>
      <w:pPr>
        <w:pStyle w:val="ListBullet"/>
      </w:pPr>
      <w:r>
        <w:t>- Policy renewal quotation, payment, and confirmation</w:t>
      </w:r>
    </w:p>
    <w:p>
      <w:pPr>
        <w:pStyle w:val="ListBullet"/>
      </w:pPr>
      <w:r>
        <w:t>- First-notice-of-loss (FNOL) claims submission</w:t>
      </w:r>
    </w:p>
    <w:p>
      <w:pPr>
        <w:pStyle w:val="ListBullet"/>
      </w:pPr>
      <w:r>
        <w:t>- Document upload for claims supporting evidence</w:t>
      </w:r>
    </w:p>
    <w:p>
      <w:pPr>
        <w:pStyle w:val="ListBullet"/>
      </w:pPr>
      <w:r>
        <w:t>- Claims status tracking and notification preferences</w:t>
      </w:r>
    </w:p>
    <w:p/>
    <w:p>
      <w:r>
        <w:rPr>
          <w:b/>
        </w:rPr>
        <w:t>Out of Scope:</w:t>
      </w:r>
    </w:p>
    <w:p>
      <w:pPr>
        <w:pStyle w:val="ListBullet"/>
      </w:pPr>
      <w:r>
        <w:t>- Underwriting workflow changes</w:t>
      </w:r>
    </w:p>
    <w:p>
      <w:pPr>
        <w:pStyle w:val="ListBullet"/>
      </w:pPr>
      <w:r>
        <w:t>- Agent/broker portal functionality</w:t>
      </w:r>
    </w:p>
    <w:p>
      <w:pPr>
        <w:pStyle w:val="ListBullet"/>
      </w:pPr>
      <w:r>
        <w:t>- Complex claims settlement calculations</w:t>
      </w:r>
    </w:p>
    <w:p>
      <w:pPr>
        <w:pStyle w:val="ListBullet"/>
      </w:pPr>
      <w:r>
        <w:t>- Mobile native applications (responsive web only)</w:t>
      </w:r>
    </w:p>
    <w:p>
      <w:pPr>
        <w:pStyle w:val="Heading1"/>
      </w:pPr>
      <w:r>
        <w:t>4. Stakeholders &amp; RACI</w:t>
      </w:r>
    </w:p>
    <w:p>
      <w:pPr>
        <w:pStyle w:val="ListBullet"/>
      </w:pPr>
      <w:r>
        <w:t>- Head of Digital (R) — owns channel strategy and business case</w:t>
      </w:r>
    </w:p>
    <w:p>
      <w:pPr>
        <w:pStyle w:val="ListBullet"/>
      </w:pPr>
      <w:r>
        <w:t>- Head of Compliance (C) — reviews regulatory and data handling requirements</w:t>
      </w:r>
    </w:p>
    <w:p>
      <w:pPr>
        <w:pStyle w:val="ListBullet"/>
      </w:pPr>
      <w:r>
        <w:t>- IT Platform Lead (R) — accountable for technical delivery and integrations</w:t>
      </w:r>
    </w:p>
    <w:p>
      <w:pPr>
        <w:pStyle w:val="ListBullet"/>
      </w:pPr>
      <w:r>
        <w:t>- Customer Operations Manager (C) — defines service-level expectations</w:t>
      </w:r>
    </w:p>
    <w:p>
      <w:pPr>
        <w:pStyle w:val="ListBullet"/>
      </w:pPr>
      <w:r>
        <w:t>- Policy Administration System Vendor (I) — provides integration support</w:t>
      </w:r>
    </w:p>
    <w:p>
      <w:pPr>
        <w:pStyle w:val="Heading1"/>
      </w:pPr>
      <w:r>
        <w:t>5. Functional Requirements</w:t>
      </w:r>
    </w:p>
    <w:p>
      <w:pPr>
        <w:pStyle w:val="ListBullet"/>
      </w:pPr>
      <w:r>
        <w:t>FR-01 The portal shall allow policyholders to view active and expired policies.</w:t>
      </w:r>
    </w:p>
    <w:p>
      <w:pPr>
        <w:pStyle w:val="ListBullet"/>
      </w:pPr>
      <w:r>
        <w:t>FR-02 The portal shall generate a renewal quotation based on the current policy data.</w:t>
      </w:r>
    </w:p>
    <w:p>
      <w:pPr>
        <w:pStyle w:val="ListBullet"/>
      </w:pPr>
      <w:r>
        <w:t>FR-03 The portal shall accept online payment for renewal premiums via approved payment providers.</w:t>
      </w:r>
    </w:p>
    <w:p>
      <w:pPr>
        <w:pStyle w:val="ListBullet"/>
      </w:pPr>
      <w:r>
        <w:t>FR-04 The portal shall support first-notice-of-loss claims with structured data capture.</w:t>
      </w:r>
    </w:p>
    <w:p>
      <w:pPr>
        <w:pStyle w:val="ListBullet"/>
      </w:pPr>
      <w:r>
        <w:t>FR-05 The portal shall allow users to upload supporting documents up to 20MB per file.</w:t>
      </w:r>
    </w:p>
    <w:p>
      <w:pPr>
        <w:pStyle w:val="Heading1"/>
      </w:pPr>
      <w:r>
        <w:t>6. Non-Functional Requirements</w:t>
      </w:r>
    </w:p>
    <w:p>
      <w:pPr>
        <w:pStyle w:val="ListBullet"/>
      </w:pPr>
      <w:r>
        <w:t>NFR-01 Availability: 99.9% uptime during business hours (08:00–20:00 local time).</w:t>
      </w:r>
    </w:p>
    <w:p>
      <w:pPr>
        <w:pStyle w:val="ListBullet"/>
      </w:pPr>
      <w:r>
        <w:t>NFR-02 Performance: 90% of page loads complete within 3 seconds on standard broadband.</w:t>
      </w:r>
    </w:p>
    <w:p>
      <w:pPr>
        <w:pStyle w:val="ListBullet"/>
      </w:pPr>
      <w:r>
        <w:t>NFR-03 Security: All data in transit encrypted with TLS 1.2 or higher.</w:t>
      </w:r>
    </w:p>
    <w:p>
      <w:pPr>
        <w:pStyle w:val="ListBullet"/>
      </w:pPr>
      <w:r>
        <w:t>NFR-04 Accessibility: WCAG 2.2 Level AA compliance for all customer-facing screens.</w:t>
      </w:r>
    </w:p>
    <w:p>
      <w:pPr>
        <w:pStyle w:val="ListBullet"/>
      </w:pPr>
      <w:r>
        <w:t>NFR-05 Audit: All authentication, policy view, and claim submission events logged for 7 years.</w:t>
      </w:r>
    </w:p>
    <w:p>
      <w:pPr>
        <w:pStyle w:val="Heading1"/>
      </w:pPr>
      <w:r>
        <w:t>7. Assumptions</w:t>
      </w:r>
    </w:p>
    <w:p>
      <w:pPr>
        <w:pStyle w:val="ListBullet"/>
      </w:pPr>
      <w:r>
        <w:t>- Policy and claims data is available via existing internal APIs.</w:t>
      </w:r>
    </w:p>
    <w:p>
      <w:pPr>
        <w:pStyle w:val="ListBullet"/>
      </w:pPr>
      <w:r>
        <w:t>- Customers have valid email addresses and mobile numbers on record.</w:t>
      </w:r>
    </w:p>
    <w:p>
      <w:pPr>
        <w:pStyle w:val="ListBullet"/>
      </w:pPr>
      <w:r>
        <w:t>- Payment provider integration can be completed within the project timeline.</w:t>
      </w:r>
    </w:p>
    <w:p>
      <w:pPr>
        <w:pStyle w:val="ListBullet"/>
      </w:pPr>
      <w:r>
        <w:t>- Regulatory requirements remain stable during delivery.</w:t>
      </w:r>
    </w:p>
    <w:p>
      <w:pPr>
        <w:pStyle w:val="Heading1"/>
      </w:pPr>
      <w:r>
        <w:t>8. Constraints</w:t>
      </w:r>
    </w:p>
    <w:p>
      <w:pPr>
        <w:pStyle w:val="ListBullet"/>
      </w:pPr>
      <w:r>
        <w:t>- The solution must operate within the existing data centre and cloud governance framework.</w:t>
      </w:r>
    </w:p>
    <w:p>
      <w:pPr>
        <w:pStyle w:val="ListBullet"/>
      </w:pPr>
      <w:r>
        <w:t>- No customer data may be stored outside approved geographic regions.</w:t>
      </w:r>
    </w:p>
    <w:p>
      <w:pPr>
        <w:pStyle w:val="ListBullet"/>
      </w:pPr>
      <w:r>
        <w:t>- Third-party libraries and services must be on the approved vendor list.</w:t>
      </w:r>
    </w:p>
    <w:p>
      <w:pPr>
        <w:pStyle w:val="ListBullet"/>
      </w:pPr>
      <w:r>
        <w:t>- Launch must align with the Q4 regulatory reporting window.</w:t>
      </w:r>
    </w:p>
    <w:p>
      <w:pPr>
        <w:pStyle w:val="Heading1"/>
      </w:pPr>
      <w:r>
        <w:t>9. Acceptance Criteria</w:t>
      </w:r>
    </w:p>
    <w:p>
      <w:pPr>
        <w:pStyle w:val="ListBullet"/>
      </w:pPr>
      <w:r>
        <w:t>AC-01 A registered policyholder can complete a renewal end-to-end without contacting the call centre.</w:t>
      </w:r>
    </w:p>
    <w:p>
      <w:pPr>
        <w:pStyle w:val="ListBullet"/>
      </w:pPr>
      <w:r>
        <w:t>AC-02 A user can submit a claim with at least one supporting document and receive a confirmation reference.</w:t>
      </w:r>
    </w:p>
    <w:p>
      <w:pPr>
        <w:pStyle w:val="ListBullet"/>
      </w:pPr>
      <w:r>
        <w:t>AC-03 Claims status updates are reflected in the portal within 4 hours of backend status change.</w:t>
      </w:r>
    </w:p>
    <w:p>
      <w:pPr>
        <w:pStyle w:val="ListBullet"/>
      </w:pPr>
      <w:r>
        <w:t>AC-04 All customer-facing screens pass WCAG 2.2 AA automated and manual checks.</w:t>
      </w:r>
    </w:p>
    <w:p>
      <w:pPr>
        <w:pStyle w:val="Heading1"/>
      </w:pPr>
      <w:r>
        <w:t>10. User Access Management</w:t>
      </w:r>
    </w:p>
    <w:p>
      <w:pPr>
        <w:pStyle w:val="ListBullet"/>
      </w:pPr>
      <w:r>
        <w:t>- Role: Registered Policyholder — view policies, renew, submit claims, upload documents.</w:t>
      </w:r>
    </w:p>
    <w:p>
      <w:pPr>
        <w:pStyle w:val="ListBullet"/>
      </w:pPr>
      <w:r>
        <w:t>- Role: Guest User — request account activation using policy number and date of birth.</w:t>
      </w:r>
    </w:p>
    <w:p>
      <w:pPr>
        <w:pStyle w:val="ListBullet"/>
      </w:pPr>
      <w:r>
        <w:t>- Role: Customer Service Representative (read-only via backend) — assist customers over the phone.</w:t>
      </w:r>
    </w:p>
    <w:p>
      <w:pPr>
        <w:pStyle w:val="ListBullet"/>
      </w:pPr>
      <w:r>
        <w:t>- Multi-factor authentication required for high-risk actions (address change, payment).</w:t>
      </w:r>
    </w:p>
    <w:p>
      <w:pPr>
        <w:pStyle w:val="Heading1"/>
      </w:pPr>
      <w:r>
        <w:t>11. Security Controls</w:t>
      </w:r>
    </w:p>
    <w:p>
      <w:pPr>
        <w:pStyle w:val="ListBullet"/>
      </w:pPr>
      <w:r>
        <w:t>SC-01 All authentication attempts rate-limited and logged.</w:t>
      </w:r>
    </w:p>
    <w:p>
      <w:pPr>
        <w:pStyle w:val="ListBullet"/>
      </w:pPr>
      <w:r>
        <w:t>SC-02 Sensitive data fields masked in UI and masked/encrypted in transit and at rest.</w:t>
      </w:r>
    </w:p>
    <w:p>
      <w:pPr>
        <w:pStyle w:val="ListBullet"/>
      </w:pPr>
      <w:r>
        <w:t>SC-03 Session timeout after 15 minutes of inactivity.</w:t>
      </w:r>
    </w:p>
    <w:p>
      <w:pPr>
        <w:pStyle w:val="ListBullet"/>
      </w:pPr>
      <w:r>
        <w:t>SC-04 Document uploads scanned for malware before processing.</w:t>
      </w:r>
    </w:p>
    <w:p>
      <w:pPr>
        <w:pStyle w:val="ListBullet"/>
      </w:pPr>
      <w:r>
        <w:t>SC-05 Role-based access control enforced on every API endpoint.</w:t>
      </w:r>
    </w:p>
    <w:p>
      <w:pPr>
        <w:pStyle w:val="Heading1"/>
      </w:pPr>
      <w:r>
        <w:t>12. Benefits Realisation</w:t>
      </w:r>
    </w:p>
    <w:p>
      <w:pPr>
        <w:pStyle w:val="ListBullet"/>
      </w:pPr>
      <w:r>
        <w:t>- Operational efficiency: 25% reduction in call centre volume for renewals and status enquiries.</w:t>
      </w:r>
    </w:p>
    <w:p>
      <w:pPr>
        <w:pStyle w:val="ListBullet"/>
      </w:pPr>
      <w:r>
        <w:t>- Customer experience: Improved CSAT through 24/7 self-service access.</w:t>
      </w:r>
    </w:p>
    <w:p>
      <w:pPr>
        <w:pStyle w:val="ListBullet"/>
      </w:pPr>
      <w:r>
        <w:t>- Compliance: Standardised audit trail and data retention for regulatory reporting.</w:t>
      </w:r>
    </w:p>
    <w:p>
      <w:pPr>
        <w:pStyle w:val="ListBullet"/>
      </w:pPr>
      <w:r>
        <w:t>- Revenue protection: Faster renewal completion reducing policy lapse rates.</w:t>
      </w:r>
    </w:p>
    <w:p/>
    <w:p>
      <w:pPr>
        <w:jc w:val="center"/>
      </w:pPr>
      <w:r>
        <w:t>End of Document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